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9C91F">
      <w:pPr>
        <w:autoSpaceDE w:val="0"/>
        <w:autoSpaceDN w:val="0"/>
        <w:adjustRightInd w:val="0"/>
        <w:jc w:val="left"/>
        <w:rPr>
          <w:rStyle w:val="5"/>
          <w:rFonts w:ascii="方正小标宋简体" w:hAnsi="方正小标宋简体" w:eastAsia="方正小标宋简体" w:cs="方正小标宋简体"/>
          <w:kern w:val="0"/>
          <w:sz w:val="41"/>
          <w:szCs w:val="41"/>
          <w:shd w:val="clear" w:color="auto" w:fill="FFFFFF"/>
          <w:lang w:bidi="ar"/>
        </w:rPr>
      </w:pPr>
      <w:r>
        <w:rPr>
          <w:rFonts w:hint="eastAsia" w:ascii="宋体" w:hAnsi="宋体" w:cs="宋体"/>
          <w:sz w:val="32"/>
          <w:szCs w:val="32"/>
        </w:rPr>
        <w:t>附件1</w:t>
      </w:r>
    </w:p>
    <w:p w14:paraId="0EF78AF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学科领军人才认定标准</w:t>
      </w:r>
    </w:p>
    <w:bookmarkEnd w:id="0"/>
    <w:p w14:paraId="28B5FFBB">
      <w:pPr>
        <w:widowControl/>
        <w:shd w:val="clear" w:color="auto" w:fill="FFFFFF"/>
        <w:snapToGrid w:val="0"/>
        <w:spacing w:line="348" w:lineRule="auto"/>
        <w:ind w:firstLine="645"/>
        <w:jc w:val="center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14:paraId="66AFC416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  <w:t>学科领军人才应符合下列标准之一:</w:t>
      </w:r>
    </w:p>
    <w:p w14:paraId="665F26D8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第一层次：中国科学院院士、中国工程院院士、长江学者、“国家自然科学基金青年科学基金项目（A类）”获得者、“国家高层次人才特殊支持计划”杰出人才人选及具有相当学术地位和成就的专家学者；</w:t>
      </w:r>
    </w:p>
    <w:p w14:paraId="7386E9DF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第二层次：“国家自然科学基金青年科学基金项目（B类）”获得者、“国家自然科学基金优秀青年科学基金项目（海外）”获得者、“国家高层次人才特殊支持计划”青年拔尖人才、青年长江学者、中原学者、“百千万人才工程”省部级人选、国家“有突出贡献中青年专家”、国家级科研平台主要负责人、河南省特聘教授、国家级教学名师及具有相当学术地位和成就的专家学者、知名大学（QS排名前200）教授等。</w:t>
      </w:r>
    </w:p>
    <w:p w14:paraId="7FED6B40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46314403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31EF1290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20AE75CE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0DC46387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008CB346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000E2A95">
      <w:pPr>
        <w:widowControl/>
        <w:shd w:val="clear" w:color="auto" w:fill="FFFFFF"/>
        <w:snapToGrid w:val="0"/>
        <w:spacing w:line="348" w:lineRule="auto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0CA50601"/>
    <w:sectPr>
      <w:footerReference r:id="rId3" w:type="default"/>
      <w:pgSz w:w="11906" w:h="16838"/>
      <w:pgMar w:top="1757" w:right="1587" w:bottom="153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A827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1C4DBA">
                          <w:pPr>
                            <w:pStyle w:val="2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- 12 -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1C4DBA">
                    <w:pPr>
                      <w:pStyle w:val="2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- 12 -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D0230"/>
    <w:rsid w:val="1E1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2026-06-05T01:22:00Z</dcterms:created>
  <dc:creator>小瓶子</dc:creator>
  <cp:lastModifiedBy>小瓶子</cp:lastModifiedBy>
  <dcterms:modified xsi:type="dcterms:W3CDTF">2026-06-05T01:25:24Z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EE4D9AE593DF4163B8DBA12205841D03_11</vt:lpwstr>
  </property>
  <property fmtid="{D5CDD505-2E9C-101B-9397-08002B2CF9AE}" pid="4" name="KSOTemplateDocerSaveRecord">
    <vt:lpwstr>eyJoZGlkIjoiYjBiZjg5NTlkMjg4ZjZhZDk0NzYzZWU5Y2YxMGEyZGYiLCJ1c2VySWQiOiI0ODMzNzA1OTkifQ==</vt:lpwstr>
  </property>
</Properties>
</file>